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9" w:rsidRDefault="00EF21AD">
      <w:pPr>
        <w:jc w:val="center"/>
        <w:rPr>
          <w:rFonts w:hAnsi="宋体"/>
          <w:b/>
          <w:sz w:val="36"/>
          <w:szCs w:val="36"/>
        </w:rPr>
      </w:pPr>
      <w:r>
        <w:rPr>
          <w:rFonts w:hAnsi="宋体"/>
          <w:b/>
          <w:sz w:val="36"/>
          <w:szCs w:val="36"/>
        </w:rPr>
        <w:t>中华数字书苑电子书库（</w:t>
      </w:r>
      <w:r>
        <w:rPr>
          <w:rFonts w:hAnsi="宋体"/>
          <w:b/>
          <w:sz w:val="36"/>
          <w:szCs w:val="36"/>
        </w:rPr>
        <w:t>2019</w:t>
      </w:r>
      <w:r>
        <w:rPr>
          <w:rFonts w:hAnsi="宋体"/>
          <w:b/>
          <w:sz w:val="36"/>
          <w:szCs w:val="36"/>
        </w:rPr>
        <w:t>修订）</w:t>
      </w:r>
    </w:p>
    <w:p w:rsidR="00BE5199" w:rsidRDefault="00BE5199">
      <w:pPr>
        <w:jc w:val="center"/>
        <w:rPr>
          <w:rFonts w:hAnsi="宋体"/>
        </w:rPr>
      </w:pPr>
    </w:p>
    <w:tbl>
      <w:tblPr>
        <w:tblW w:w="8680" w:type="dxa"/>
        <w:tblInd w:w="93" w:type="dxa"/>
        <w:tblLayout w:type="fixed"/>
        <w:tblLook w:val="04A0" w:firstRow="1" w:lastRow="0" w:firstColumn="1" w:lastColumn="0" w:noHBand="0" w:noVBand="1"/>
      </w:tblPr>
      <w:tblGrid>
        <w:gridCol w:w="1080"/>
        <w:gridCol w:w="1700"/>
        <w:gridCol w:w="5900"/>
      </w:tblGrid>
      <w:tr w:rsidR="00BE5199">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序号</w:t>
            </w:r>
          </w:p>
        </w:tc>
        <w:tc>
          <w:tcPr>
            <w:tcW w:w="1700" w:type="dxa"/>
            <w:tcBorders>
              <w:top w:val="single" w:sz="4" w:space="0" w:color="auto"/>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项目</w:t>
            </w:r>
          </w:p>
        </w:tc>
        <w:tc>
          <w:tcPr>
            <w:tcW w:w="5900" w:type="dxa"/>
            <w:tcBorders>
              <w:top w:val="single" w:sz="4" w:space="0" w:color="auto"/>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说明</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数据库名称</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中华数字书苑（电子书库）</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2</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数据库出版商</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北京方正阿帕比技术有限公司</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3</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数据更新周期</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月更新</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FF0000"/>
                <w:sz w:val="22"/>
                <w:szCs w:val="22"/>
              </w:rPr>
            </w:pPr>
            <w:r>
              <w:rPr>
                <w:rFonts w:ascii="宋体" w:hAnsi="宋体"/>
                <w:color w:val="FF0000"/>
                <w:sz w:val="22"/>
                <w:szCs w:val="22"/>
              </w:rPr>
              <w:t>4</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FF0000"/>
                <w:sz w:val="22"/>
                <w:szCs w:val="22"/>
              </w:rPr>
            </w:pPr>
            <w:r>
              <w:rPr>
                <w:rFonts w:ascii="宋体" w:hAnsi="宋体"/>
                <w:color w:val="FF0000"/>
                <w:sz w:val="22"/>
                <w:szCs w:val="22"/>
              </w:rPr>
              <w:t>数据收录来源</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FF0000"/>
                <w:sz w:val="22"/>
                <w:szCs w:val="22"/>
              </w:rPr>
            </w:pPr>
            <w:r>
              <w:rPr>
                <w:rFonts w:ascii="宋体" w:hAnsi="宋体"/>
                <w:color w:val="FF0000"/>
                <w:sz w:val="22"/>
                <w:szCs w:val="22"/>
              </w:rPr>
              <w:t>数据来源于</w:t>
            </w:r>
            <w:r>
              <w:rPr>
                <w:rFonts w:ascii="宋体" w:hAnsi="宋体"/>
                <w:color w:val="FF0000"/>
                <w:sz w:val="22"/>
                <w:szCs w:val="22"/>
              </w:rPr>
              <w:t>900</w:t>
            </w:r>
            <w:r>
              <w:rPr>
                <w:rFonts w:ascii="宋体" w:hAnsi="宋体"/>
                <w:color w:val="FF0000"/>
                <w:sz w:val="22"/>
                <w:szCs w:val="22"/>
              </w:rPr>
              <w:t>多个出版社</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5</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语种</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中文、英文、繁体</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6</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文献格式</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CEBX</w:t>
            </w:r>
            <w:r>
              <w:rPr>
                <w:rFonts w:ascii="宋体" w:hAnsi="宋体"/>
                <w:color w:val="000000"/>
                <w:sz w:val="22"/>
                <w:szCs w:val="22"/>
              </w:rPr>
              <w:t>文本格式</w:t>
            </w:r>
          </w:p>
        </w:tc>
      </w:tr>
      <w:tr w:rsidR="00BE5199">
        <w:trPr>
          <w:trHeight w:val="54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7</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文献类型</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电子图书</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8</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可访问年限</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2020</w:t>
            </w:r>
            <w:r>
              <w:rPr>
                <w:rFonts w:ascii="宋体" w:hAnsi="宋体"/>
                <w:color w:val="000000"/>
                <w:sz w:val="22"/>
                <w:szCs w:val="22"/>
              </w:rPr>
              <w:t>年</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9</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可访问途径</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PC</w:t>
            </w:r>
            <w:r>
              <w:rPr>
                <w:rFonts w:ascii="宋体" w:hAnsi="宋体"/>
                <w:color w:val="000000"/>
                <w:sz w:val="22"/>
                <w:szCs w:val="22"/>
              </w:rPr>
              <w:t>机、移动设备（手机、平板）</w:t>
            </w:r>
          </w:p>
        </w:tc>
      </w:tr>
      <w:tr w:rsidR="00BE5199">
        <w:trPr>
          <w:trHeight w:val="45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10</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覆盖学科专业</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wordWrap w:val="0"/>
              <w:rPr>
                <w:rFonts w:ascii="宋体" w:hAnsi="宋体"/>
                <w:color w:val="000000"/>
                <w:sz w:val="22"/>
                <w:szCs w:val="22"/>
              </w:rPr>
            </w:pPr>
            <w:r>
              <w:rPr>
                <w:rFonts w:ascii="方正书宋简体" w:eastAsia="方正书宋简体" w:hAnsi="方正书宋简体"/>
              </w:rPr>
              <w:t>覆盖中图法所有二级分类，覆盖全部学科，并在计算机、管理、外语、文学等方面重点建设</w:t>
            </w:r>
          </w:p>
        </w:tc>
      </w:tr>
      <w:tr w:rsidR="00BE5199">
        <w:trPr>
          <w:trHeight w:val="81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11</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FF0000"/>
                <w:sz w:val="22"/>
                <w:szCs w:val="22"/>
              </w:rPr>
            </w:pPr>
            <w:r>
              <w:rPr>
                <w:rFonts w:ascii="宋体" w:hAnsi="宋体"/>
                <w:color w:val="FF0000"/>
                <w:sz w:val="22"/>
                <w:szCs w:val="22"/>
              </w:rPr>
              <w:t>数据库内容简要介绍</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中华数字书苑是阿帕比推出的专业的优质华文数字内容整合服务平台。中华数字书苑以数据库方式，收录了建国以来大部分的</w:t>
            </w:r>
            <w:r>
              <w:rPr>
                <w:rFonts w:ascii="方正书宋简体" w:eastAsia="方正书宋简体" w:hAnsi="方正书宋简体"/>
              </w:rPr>
              <w:t>80</w:t>
            </w:r>
            <w:r>
              <w:rPr>
                <w:rFonts w:ascii="方正书宋简体" w:eastAsia="方正书宋简体" w:hAnsi="方正书宋简体"/>
              </w:rPr>
              <w:t>余万册图书全文资源，并且可以做到全文下载，覆盖了建国以来的所有电子书</w:t>
            </w:r>
            <w:r>
              <w:rPr>
                <w:rFonts w:ascii="方正书宋简体" w:eastAsia="方正书宋简体" w:hAnsi="方正书宋简体"/>
              </w:rPr>
              <w:t>80%</w:t>
            </w:r>
            <w:r>
              <w:rPr>
                <w:rFonts w:ascii="方正书宋简体" w:eastAsia="方正书宋简体" w:hAnsi="方正书宋简体"/>
              </w:rPr>
              <w:t>以上。旨在为所属读者提供在线阅读、全文检索、离线借阅、移动阅读、下载、打印等数字内容和知识服务。</w:t>
            </w:r>
          </w:p>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通过中华数字书苑，读者可以第一时间看到新书信息并在线翻阅，精准快速的找到感兴趣的内容，还可以与好友一起交流阅读体验，创建属于自己的个性化首页，从而快速、便捷地浏览到自己关心的知识。</w:t>
            </w:r>
          </w:p>
          <w:p w:rsidR="00BE5199" w:rsidRDefault="00EF21AD">
            <w:pPr>
              <w:wordWrap w:val="0"/>
              <w:ind w:firstLine="420"/>
              <w:rPr>
                <w:rFonts w:ascii="宋体" w:hAnsi="宋体"/>
                <w:color w:val="000000"/>
                <w:sz w:val="22"/>
                <w:szCs w:val="22"/>
              </w:rPr>
            </w:pPr>
            <w:r>
              <w:rPr>
                <w:rFonts w:ascii="方正书宋简体" w:eastAsia="方正书宋简体" w:hAnsi="方正书宋简体"/>
              </w:rPr>
              <w:t>此外，中华数字书苑还收录</w:t>
            </w:r>
            <w:r>
              <w:rPr>
                <w:rFonts w:ascii="方正书宋简体" w:eastAsia="方正书宋简体" w:hAnsi="方正书宋简体"/>
              </w:rPr>
              <w:t>了</w:t>
            </w:r>
            <w:r>
              <w:rPr>
                <w:rFonts w:ascii="方正书宋简体" w:eastAsia="方正书宋简体" w:hAnsi="方正书宋简体"/>
              </w:rPr>
              <w:t>900</w:t>
            </w:r>
            <w:r>
              <w:rPr>
                <w:rFonts w:ascii="方正书宋简体" w:eastAsia="方正书宋简体" w:hAnsi="方正书宋简体"/>
              </w:rPr>
              <w:t>多家出版机构、</w:t>
            </w:r>
            <w:r>
              <w:rPr>
                <w:rFonts w:ascii="方正书宋简体" w:eastAsia="方正书宋简体" w:hAnsi="方正书宋简体"/>
              </w:rPr>
              <w:t>30</w:t>
            </w:r>
            <w:r>
              <w:rPr>
                <w:rFonts w:ascii="方正书宋简体" w:eastAsia="方正书宋简体" w:hAnsi="方正书宋简体"/>
              </w:rPr>
              <w:t>万位作者的信息及其作品库，可为出版产业链中的作者、出版单位、发行单位、信息情报单位、读者提供各类信息服务，为政府提</w:t>
            </w:r>
            <w:r>
              <w:rPr>
                <w:rFonts w:ascii="方正书宋简体" w:eastAsia="方正书宋简体" w:hAnsi="方正书宋简体"/>
              </w:rPr>
              <w:lastRenderedPageBreak/>
              <w:t>供覆盖行业的出版信息管理支持和相关决策支持服务。</w:t>
            </w:r>
          </w:p>
        </w:tc>
      </w:tr>
      <w:tr w:rsidR="00BE5199">
        <w:trPr>
          <w:trHeight w:val="81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lastRenderedPageBreak/>
              <w:t>12</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FF0000"/>
                <w:sz w:val="22"/>
                <w:szCs w:val="22"/>
              </w:rPr>
            </w:pPr>
            <w:r>
              <w:rPr>
                <w:rFonts w:ascii="宋体" w:hAnsi="宋体"/>
                <w:color w:val="FF0000"/>
                <w:sz w:val="22"/>
                <w:szCs w:val="22"/>
              </w:rPr>
              <w:t>平台功能简介</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wordWrap w:val="0"/>
              <w:ind w:firstLine="420"/>
              <w:rPr>
                <w:rFonts w:ascii="方正书宋简体" w:eastAsia="方正书宋简体" w:hAnsi="方正书宋简体"/>
                <w:b/>
              </w:rPr>
            </w:pPr>
            <w:r>
              <w:rPr>
                <w:rFonts w:ascii="方正书宋简体" w:eastAsia="方正书宋简体" w:hAnsi="方正书宋简体"/>
                <w:b/>
              </w:rPr>
              <w:t>1.</w:t>
            </w:r>
            <w:r>
              <w:rPr>
                <w:rFonts w:ascii="方正书宋简体" w:eastAsia="方正书宋简体" w:hAnsi="方正书宋简体"/>
                <w:b/>
              </w:rPr>
              <w:t>内容整合服务</w:t>
            </w:r>
          </w:p>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通过对内容的整合，中华数字书苑为您呈现出完整、全面的电子书内容资源，同时，电子书资源进行关联和标引，使得您对内容和信息的获取更加便捷。</w:t>
            </w:r>
          </w:p>
          <w:p w:rsidR="00BE5199" w:rsidRDefault="00EF21AD">
            <w:pPr>
              <w:wordWrap w:val="0"/>
              <w:ind w:firstLine="420"/>
              <w:rPr>
                <w:rFonts w:ascii="方正书宋简体" w:eastAsia="方正书宋简体" w:hAnsi="方正书宋简体"/>
                <w:b/>
              </w:rPr>
            </w:pPr>
            <w:r>
              <w:rPr>
                <w:rFonts w:ascii="方正书宋简体" w:eastAsia="方正书宋简体" w:hAnsi="方正书宋简体"/>
                <w:b/>
              </w:rPr>
              <w:t>2.</w:t>
            </w:r>
            <w:r>
              <w:rPr>
                <w:rFonts w:ascii="方正书宋简体" w:eastAsia="方正书宋简体" w:hAnsi="方正书宋简体"/>
                <w:b/>
              </w:rPr>
              <w:t>知识检索服务</w:t>
            </w:r>
          </w:p>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知识检索对数据资源质量、加工标引能力、知识关联分析、搜索引擎性能等都有极高的要求，通过对各种内容资源的整</w:t>
            </w:r>
            <w:r>
              <w:rPr>
                <w:rFonts w:ascii="方正书宋简体" w:eastAsia="方正书宋简体" w:hAnsi="方正书宋简体"/>
              </w:rPr>
              <w:t>理、分析和挖掘，借助于全新的智能搜索引擎，建立完整的知识检索服务体系，使得读者能够获得基于知识的优质检索服务。</w:t>
            </w:r>
          </w:p>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通过知识检索服务，读者可以准确快捷的找到所需的各项内容，而不需要再通过多次检索或者尝试多个检索词实现内容的查找。</w:t>
            </w:r>
            <w:r>
              <w:rPr>
                <w:rFonts w:ascii="方正书宋简体" w:eastAsia="方正书宋简体" w:hAnsi="方正书宋简体"/>
              </w:rPr>
              <w:t xml:space="preserve"> </w:t>
            </w:r>
          </w:p>
          <w:p w:rsidR="00BE5199" w:rsidRDefault="00EF21AD">
            <w:pPr>
              <w:wordWrap w:val="0"/>
              <w:ind w:firstLine="420"/>
              <w:rPr>
                <w:rFonts w:ascii="方正书宋简体" w:eastAsia="方正书宋简体" w:hAnsi="方正书宋简体"/>
                <w:b/>
              </w:rPr>
            </w:pPr>
            <w:r>
              <w:rPr>
                <w:rFonts w:ascii="方正书宋简体" w:eastAsia="方正书宋简体" w:hAnsi="方正书宋简体"/>
                <w:b/>
              </w:rPr>
              <w:t>3.</w:t>
            </w:r>
            <w:r>
              <w:rPr>
                <w:rFonts w:ascii="方正书宋简体" w:eastAsia="方正书宋简体" w:hAnsi="方正书宋简体"/>
                <w:b/>
              </w:rPr>
              <w:t>在线翻阅服务</w:t>
            </w:r>
          </w:p>
          <w:p w:rsidR="00BE5199" w:rsidRDefault="00EF21AD">
            <w:pPr>
              <w:wordWrap w:val="0"/>
              <w:ind w:firstLine="420"/>
              <w:rPr>
                <w:rFonts w:ascii="方正书宋简体" w:eastAsia="方正书宋简体" w:hAnsi="方正书宋简体"/>
              </w:rPr>
            </w:pPr>
            <w:r>
              <w:rPr>
                <w:rFonts w:ascii="方正书宋简体" w:eastAsia="方正书宋简体" w:hAnsi="方正书宋简体"/>
              </w:rPr>
              <w:t>通过全文检索、目录或其他浏览方式，其中近</w:t>
            </w:r>
            <w:r>
              <w:rPr>
                <w:rFonts w:ascii="方正书宋简体" w:eastAsia="方正书宋简体" w:hAnsi="方正书宋简体"/>
              </w:rPr>
              <w:t>80</w:t>
            </w:r>
            <w:r>
              <w:rPr>
                <w:rFonts w:ascii="方正书宋简体" w:eastAsia="方正书宋简体" w:hAnsi="方正书宋简体"/>
              </w:rPr>
              <w:t>万册书可全文阅读及下载。</w:t>
            </w:r>
          </w:p>
          <w:p w:rsidR="00BE5199" w:rsidRDefault="00EF21AD">
            <w:pPr>
              <w:wordWrap w:val="0"/>
              <w:ind w:firstLine="420"/>
              <w:rPr>
                <w:rFonts w:ascii="方正书宋简体" w:eastAsia="方正书宋简体" w:hAnsi="方正书宋简体"/>
                <w:b/>
              </w:rPr>
            </w:pPr>
            <w:r>
              <w:rPr>
                <w:rFonts w:ascii="方正书宋简体" w:eastAsia="方正书宋简体" w:hAnsi="方正书宋简体"/>
                <w:b/>
              </w:rPr>
              <w:t>4.</w:t>
            </w:r>
            <w:r>
              <w:rPr>
                <w:rFonts w:ascii="方正书宋简体" w:eastAsia="方正书宋简体" w:hAnsi="方正书宋简体"/>
                <w:b/>
              </w:rPr>
              <w:t>移动阅读服务</w:t>
            </w:r>
          </w:p>
          <w:p w:rsidR="00BE5199" w:rsidRDefault="00EF21AD">
            <w:pPr>
              <w:wordWrap w:val="0"/>
              <w:spacing w:before="156" w:line="360" w:lineRule="auto"/>
              <w:ind w:firstLine="420"/>
              <w:rPr>
                <w:rFonts w:ascii="宋体" w:hAnsi="宋体"/>
                <w:color w:val="000000"/>
                <w:sz w:val="22"/>
                <w:szCs w:val="22"/>
              </w:rPr>
            </w:pPr>
            <w:r>
              <w:rPr>
                <w:rFonts w:ascii="方正书宋简体" w:eastAsia="方正书宋简体" w:hAnsi="方正书宋简体"/>
              </w:rPr>
              <w:t>用户可通过</w:t>
            </w:r>
            <w:r>
              <w:rPr>
                <w:rFonts w:ascii="方正书宋简体" w:eastAsia="方正书宋简体" w:hAnsi="方正书宋简体"/>
              </w:rPr>
              <w:t>Apabi Reader</w:t>
            </w:r>
            <w:r>
              <w:rPr>
                <w:rFonts w:ascii="方正书宋简体" w:eastAsia="方正书宋简体" w:hAnsi="方正书宋简体"/>
              </w:rPr>
              <w:t>扫描图书二维码借阅到手机，即可离线阅读。可支持</w:t>
            </w:r>
            <w:r>
              <w:rPr>
                <w:rFonts w:ascii="方正书宋简体" w:eastAsia="方正书宋简体" w:hAnsi="方正书宋简体"/>
              </w:rPr>
              <w:t>Andriod</w:t>
            </w:r>
            <w:r>
              <w:rPr>
                <w:rFonts w:ascii="方正书宋简体" w:eastAsia="方正书宋简体" w:hAnsi="方正书宋简体"/>
              </w:rPr>
              <w:t>、</w:t>
            </w:r>
            <w:r>
              <w:rPr>
                <w:rFonts w:ascii="方正书宋简体" w:eastAsia="方正书宋简体" w:hAnsi="方正书宋简体"/>
              </w:rPr>
              <w:t>Ios</w:t>
            </w:r>
            <w:r>
              <w:rPr>
                <w:rFonts w:ascii="方正书宋简体" w:eastAsia="方正书宋简体" w:hAnsi="方正书宋简体"/>
              </w:rPr>
              <w:t>系统手机、平板电脑，非智</w:t>
            </w:r>
            <w:r>
              <w:rPr>
                <w:rFonts w:ascii="方正书宋简体" w:eastAsia="方正书宋简体" w:hAnsi="方正书宋简体"/>
              </w:rPr>
              <w:t>能手机，手持阅读器等移动设备的资源阅读功能，极大的扩展了产品的使用方式和范围，也为用户查询知识信息提供了更</w:t>
            </w:r>
            <w:r>
              <w:rPr>
                <w:rFonts w:ascii="方正书宋简体" w:eastAsia="方正书宋简体" w:hAnsi="方正书宋简体"/>
              </w:rPr>
              <w:lastRenderedPageBreak/>
              <w:t>完善周到的阅读体验。</w:t>
            </w:r>
          </w:p>
        </w:tc>
      </w:tr>
      <w:tr w:rsidR="00BE5199">
        <w:trPr>
          <w:trHeight w:val="735"/>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lastRenderedPageBreak/>
              <w:t>13</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特色或者个性化服务</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支持微信扫码访问、赠送一些账号，师生可以</w:t>
            </w:r>
            <w:r>
              <w:rPr>
                <w:rFonts w:ascii="宋体" w:hAnsi="宋体"/>
                <w:color w:val="000000"/>
                <w:sz w:val="22"/>
                <w:szCs w:val="22"/>
              </w:rPr>
              <w:t>IP</w:t>
            </w:r>
            <w:r>
              <w:rPr>
                <w:rFonts w:ascii="宋体" w:hAnsi="宋体"/>
                <w:color w:val="000000"/>
                <w:sz w:val="22"/>
                <w:szCs w:val="22"/>
              </w:rPr>
              <w:t>外访问等</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14</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用途</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科研或教学、考研、就业创业等</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15</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适用对象</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师生</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16</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数据库网址</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sidRPr="00EF21AD">
              <w:rPr>
                <w:rFonts w:ascii="宋体" w:hAnsi="宋体"/>
                <w:color w:val="000000"/>
                <w:sz w:val="22"/>
                <w:szCs w:val="22"/>
              </w:rPr>
              <w:t>http://www.apabi.com/njxzxy</w:t>
            </w:r>
            <w:bookmarkStart w:id="0" w:name="_GoBack"/>
            <w:bookmarkEnd w:id="0"/>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17</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使用指南网址</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有</w:t>
            </w:r>
            <w:r>
              <w:rPr>
                <w:rFonts w:ascii="宋体" w:hAnsi="宋体"/>
                <w:color w:val="000000"/>
                <w:sz w:val="22"/>
                <w:szCs w:val="22"/>
              </w:rPr>
              <w:t>MP4</w:t>
            </w:r>
            <w:r>
              <w:rPr>
                <w:rFonts w:ascii="宋体" w:hAnsi="宋体"/>
                <w:color w:val="000000"/>
                <w:sz w:val="22"/>
                <w:szCs w:val="22"/>
              </w:rPr>
              <w:t>使用说明视频</w:t>
            </w:r>
          </w:p>
        </w:tc>
      </w:tr>
      <w:tr w:rsidR="00BE5199">
        <w:trPr>
          <w:trHeight w:val="270"/>
        </w:trPr>
        <w:tc>
          <w:tcPr>
            <w:tcW w:w="1080" w:type="dxa"/>
            <w:tcBorders>
              <w:top w:val="nil"/>
              <w:left w:val="single" w:sz="4" w:space="0" w:color="auto"/>
              <w:bottom w:val="single" w:sz="4" w:space="0" w:color="auto"/>
              <w:right w:val="single" w:sz="4" w:space="0" w:color="auto"/>
            </w:tcBorders>
            <w:shd w:val="clear" w:color="000000" w:fill="auto"/>
            <w:vAlign w:val="center"/>
          </w:tcPr>
          <w:p w:rsidR="00BE5199" w:rsidRDefault="00EF21AD">
            <w:pPr>
              <w:jc w:val="center"/>
              <w:rPr>
                <w:rFonts w:ascii="宋体" w:hAnsi="宋体"/>
                <w:color w:val="000000"/>
                <w:sz w:val="22"/>
                <w:szCs w:val="22"/>
              </w:rPr>
            </w:pPr>
            <w:r>
              <w:rPr>
                <w:rFonts w:ascii="宋体" w:hAnsi="宋体"/>
                <w:color w:val="000000"/>
                <w:sz w:val="22"/>
                <w:szCs w:val="22"/>
              </w:rPr>
              <w:t>18</w:t>
            </w:r>
          </w:p>
        </w:tc>
        <w:tc>
          <w:tcPr>
            <w:tcW w:w="17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注意事项</w:t>
            </w:r>
          </w:p>
        </w:tc>
        <w:tc>
          <w:tcPr>
            <w:tcW w:w="5900" w:type="dxa"/>
            <w:tcBorders>
              <w:top w:val="nil"/>
              <w:left w:val="nil"/>
              <w:bottom w:val="single" w:sz="4" w:space="0" w:color="auto"/>
              <w:right w:val="single" w:sz="4" w:space="0" w:color="auto"/>
            </w:tcBorders>
            <w:shd w:val="clear" w:color="000000" w:fill="auto"/>
            <w:vAlign w:val="center"/>
          </w:tcPr>
          <w:p w:rsidR="00BE5199" w:rsidRDefault="00EF21AD">
            <w:pPr>
              <w:jc w:val="left"/>
              <w:rPr>
                <w:rFonts w:ascii="宋体" w:hAnsi="宋体"/>
                <w:color w:val="000000"/>
                <w:sz w:val="22"/>
                <w:szCs w:val="22"/>
              </w:rPr>
            </w:pPr>
            <w:r>
              <w:rPr>
                <w:rFonts w:ascii="宋体" w:hAnsi="宋体"/>
                <w:color w:val="000000"/>
                <w:sz w:val="22"/>
                <w:szCs w:val="22"/>
              </w:rPr>
              <w:t>有并发用户限制、可以漫游</w:t>
            </w:r>
          </w:p>
        </w:tc>
      </w:tr>
    </w:tbl>
    <w:p w:rsidR="00BE5199" w:rsidRDefault="00BE5199">
      <w:pPr>
        <w:jc w:val="center"/>
        <w:rPr>
          <w:rFonts w:hAnsi="宋体"/>
        </w:rPr>
      </w:pPr>
    </w:p>
    <w:sectPr w:rsidR="00BE519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书宋简体">
    <w:altName w:val="Arial Unicode MS"/>
    <w:charset w:val="00"/>
    <w:family w:val="auto"/>
    <w:pitch w:val="variable"/>
    <w:sig w:usb0="00000000" w:usb1="4000207B" w:usb2="00000000" w:usb3="00000000" w:csb0="FFFFFFFF" w:csb1="00000000"/>
  </w:font>
  <w:font w:name="맑은 고딕">
    <w:charset w:val="00"/>
    <w:family w:val="auto"/>
    <w:pitch w:val="variable"/>
    <w:sig w:usb0="A00002EF"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1F000014"/>
    <w:lvl w:ilvl="0" w:tplc="7D98A17A">
      <w:start w:val="1"/>
      <w:numFmt w:val="bullet"/>
      <w:lvlText w:val="l"/>
      <w:lvlJc w:val="left"/>
      <w:pPr>
        <w:tabs>
          <w:tab w:val="left" w:pos="1134"/>
        </w:tabs>
        <w:ind w:left="510" w:hanging="510"/>
        <w:jc w:val="both"/>
      </w:pPr>
      <w:rPr>
        <w:rFonts w:ascii="Wingdings" w:eastAsia="Wingdings" w:hAnsi="Wingdings"/>
        <w:b w:val="0"/>
        <w:w w:val="100"/>
        <w:sz w:val="21"/>
        <w:szCs w:val="21"/>
        <w:u w:val="none"/>
      </w:rPr>
    </w:lvl>
    <w:lvl w:ilvl="1" w:tplc="3138A422">
      <w:start w:val="1"/>
      <w:numFmt w:val="decimal"/>
      <w:lvlText w:val="%2."/>
      <w:lvlJc w:val="left"/>
      <w:pPr>
        <w:tabs>
          <w:tab w:val="left" w:pos="420"/>
        </w:tabs>
        <w:ind w:left="590" w:hanging="170"/>
        <w:jc w:val="both"/>
      </w:pPr>
      <w:rPr>
        <w:rFonts w:ascii="宋体" w:eastAsia="宋体" w:hAnsi="宋体"/>
        <w:b/>
        <w:w w:val="100"/>
        <w:sz w:val="20"/>
        <w:szCs w:val="20"/>
      </w:rPr>
    </w:lvl>
    <w:lvl w:ilvl="2" w:tplc="1F5A4920">
      <w:start w:val="1"/>
      <w:numFmt w:val="decimal"/>
      <w:lvlText w:val="%3．"/>
      <w:lvlJc w:val="left"/>
      <w:pPr>
        <w:ind w:left="1200" w:hanging="360"/>
        <w:jc w:val="both"/>
      </w:pPr>
      <w:rPr>
        <w:rFonts w:ascii="宋体" w:eastAsia="宋体" w:hAnsi="宋体"/>
        <w:w w:val="100"/>
        <w:sz w:val="20"/>
        <w:szCs w:val="20"/>
      </w:rPr>
    </w:lvl>
    <w:lvl w:ilvl="3" w:tplc="DB7A7628">
      <w:start w:val="1"/>
      <w:numFmt w:val="decimal"/>
      <w:lvlText w:val="%4."/>
      <w:lvlJc w:val="left"/>
      <w:pPr>
        <w:tabs>
          <w:tab w:val="left" w:pos="1680"/>
        </w:tabs>
        <w:ind w:left="1680" w:hanging="420"/>
        <w:jc w:val="both"/>
      </w:pPr>
      <w:rPr>
        <w:rFonts w:ascii="宋体" w:eastAsia="宋体" w:hAnsi="宋体"/>
        <w:w w:val="100"/>
        <w:sz w:val="20"/>
        <w:szCs w:val="20"/>
      </w:rPr>
    </w:lvl>
    <w:lvl w:ilvl="4" w:tplc="586821DC">
      <w:start w:val="1"/>
      <w:numFmt w:val="lowerLetter"/>
      <w:lvlText w:val="%5)"/>
      <w:lvlJc w:val="left"/>
      <w:pPr>
        <w:tabs>
          <w:tab w:val="left" w:pos="2100"/>
        </w:tabs>
        <w:ind w:left="2100" w:hanging="420"/>
        <w:jc w:val="both"/>
      </w:pPr>
      <w:rPr>
        <w:rFonts w:ascii="宋体" w:eastAsia="宋体" w:hAnsi="宋体"/>
        <w:w w:val="100"/>
        <w:sz w:val="20"/>
        <w:szCs w:val="20"/>
      </w:rPr>
    </w:lvl>
    <w:lvl w:ilvl="5" w:tplc="5BB49656">
      <w:start w:val="1"/>
      <w:numFmt w:val="lowerRoman"/>
      <w:lvlText w:val="%6."/>
      <w:lvlJc w:val="right"/>
      <w:pPr>
        <w:tabs>
          <w:tab w:val="left" w:pos="2520"/>
        </w:tabs>
        <w:ind w:left="2520" w:hanging="420"/>
        <w:jc w:val="both"/>
      </w:pPr>
      <w:rPr>
        <w:rFonts w:ascii="宋体" w:eastAsia="宋体" w:hAnsi="宋体"/>
        <w:w w:val="100"/>
        <w:sz w:val="20"/>
        <w:szCs w:val="20"/>
      </w:rPr>
    </w:lvl>
    <w:lvl w:ilvl="6" w:tplc="CDCCC170">
      <w:start w:val="1"/>
      <w:numFmt w:val="decimal"/>
      <w:lvlText w:val="%7."/>
      <w:lvlJc w:val="left"/>
      <w:pPr>
        <w:tabs>
          <w:tab w:val="left" w:pos="2940"/>
        </w:tabs>
        <w:ind w:left="2940" w:hanging="420"/>
        <w:jc w:val="both"/>
      </w:pPr>
      <w:rPr>
        <w:rFonts w:ascii="宋体" w:eastAsia="宋体" w:hAnsi="宋体"/>
        <w:w w:val="100"/>
        <w:sz w:val="20"/>
        <w:szCs w:val="20"/>
      </w:rPr>
    </w:lvl>
    <w:lvl w:ilvl="7" w:tplc="6BA4033C">
      <w:start w:val="1"/>
      <w:numFmt w:val="lowerLetter"/>
      <w:lvlText w:val="%8)"/>
      <w:lvlJc w:val="left"/>
      <w:pPr>
        <w:tabs>
          <w:tab w:val="left" w:pos="3360"/>
        </w:tabs>
        <w:ind w:left="3360" w:hanging="420"/>
        <w:jc w:val="both"/>
      </w:pPr>
      <w:rPr>
        <w:rFonts w:ascii="宋体" w:eastAsia="宋体" w:hAnsi="宋体"/>
        <w:w w:val="100"/>
        <w:sz w:val="20"/>
        <w:szCs w:val="20"/>
      </w:rPr>
    </w:lvl>
    <w:lvl w:ilvl="8" w:tplc="6BB4471E">
      <w:start w:val="1"/>
      <w:numFmt w:val="lowerRoman"/>
      <w:lvlText w:val="%9."/>
      <w:lvlJc w:val="right"/>
      <w:pPr>
        <w:tabs>
          <w:tab w:val="left" w:pos="3780"/>
        </w:tabs>
        <w:ind w:left="3780" w:hanging="420"/>
        <w:jc w:val="both"/>
      </w:pPr>
      <w:rPr>
        <w:rFonts w:ascii="宋体" w:eastAsia="宋体" w:hAnsi="宋体"/>
        <w:w w:val="100"/>
        <w:sz w:val="20"/>
        <w:szCs w:val="20"/>
      </w:rPr>
    </w:lvl>
  </w:abstractNum>
  <w:abstractNum w:abstractNumId="1">
    <w:nsid w:val="2F000001"/>
    <w:multiLevelType w:val="hybridMultilevel"/>
    <w:tmpl w:val="1F002411"/>
    <w:lvl w:ilvl="0" w:tplc="E3FA76BA">
      <w:start w:val="1"/>
      <w:numFmt w:val="bullet"/>
      <w:lvlText w:val="l"/>
      <w:lvlJc w:val="left"/>
      <w:pPr>
        <w:ind w:left="840" w:hanging="420"/>
        <w:jc w:val="both"/>
      </w:pPr>
    </w:lvl>
    <w:lvl w:ilvl="1" w:tplc="1D407176">
      <w:start w:val="1"/>
      <w:numFmt w:val="bullet"/>
      <w:lvlText w:val="n"/>
      <w:lvlJc w:val="left"/>
      <w:pPr>
        <w:ind w:left="1260" w:hanging="420"/>
        <w:jc w:val="both"/>
      </w:pPr>
      <w:rPr>
        <w:rFonts w:ascii="Wingdings" w:eastAsia="Wingdings" w:hAnsi="Wingdings"/>
        <w:w w:val="100"/>
        <w:sz w:val="20"/>
        <w:szCs w:val="20"/>
      </w:rPr>
    </w:lvl>
    <w:lvl w:ilvl="2" w:tplc="52503FA8">
      <w:start w:val="1"/>
      <w:numFmt w:val="bullet"/>
      <w:lvlText w:val="u"/>
      <w:lvlJc w:val="left"/>
      <w:pPr>
        <w:ind w:left="1680" w:hanging="420"/>
        <w:jc w:val="both"/>
      </w:pPr>
      <w:rPr>
        <w:rFonts w:ascii="Wingdings" w:eastAsia="Wingdings" w:hAnsi="Wingdings"/>
        <w:w w:val="100"/>
        <w:sz w:val="20"/>
        <w:szCs w:val="20"/>
      </w:rPr>
    </w:lvl>
    <w:lvl w:ilvl="3" w:tplc="8A9E78A6">
      <w:start w:val="1"/>
      <w:numFmt w:val="bullet"/>
      <w:lvlText w:val="l"/>
      <w:lvlJc w:val="left"/>
      <w:pPr>
        <w:ind w:left="2100" w:hanging="420"/>
        <w:jc w:val="both"/>
      </w:pPr>
      <w:rPr>
        <w:rFonts w:ascii="Wingdings" w:eastAsia="Wingdings" w:hAnsi="Wingdings"/>
        <w:w w:val="100"/>
        <w:sz w:val="20"/>
        <w:szCs w:val="20"/>
      </w:rPr>
    </w:lvl>
    <w:lvl w:ilvl="4" w:tplc="1D745E36">
      <w:start w:val="1"/>
      <w:numFmt w:val="bullet"/>
      <w:lvlText w:val="n"/>
      <w:lvlJc w:val="left"/>
      <w:pPr>
        <w:ind w:left="2520" w:hanging="420"/>
        <w:jc w:val="both"/>
      </w:pPr>
      <w:rPr>
        <w:rFonts w:ascii="Wingdings" w:eastAsia="Wingdings" w:hAnsi="Wingdings"/>
        <w:w w:val="100"/>
        <w:sz w:val="20"/>
        <w:szCs w:val="20"/>
      </w:rPr>
    </w:lvl>
    <w:lvl w:ilvl="5" w:tplc="CF4C53C0">
      <w:start w:val="1"/>
      <w:numFmt w:val="bullet"/>
      <w:lvlText w:val="u"/>
      <w:lvlJc w:val="left"/>
      <w:pPr>
        <w:ind w:left="2940" w:hanging="420"/>
        <w:jc w:val="both"/>
      </w:pPr>
      <w:rPr>
        <w:rFonts w:ascii="Wingdings" w:eastAsia="Wingdings" w:hAnsi="Wingdings"/>
        <w:w w:val="100"/>
        <w:sz w:val="20"/>
        <w:szCs w:val="20"/>
      </w:rPr>
    </w:lvl>
    <w:lvl w:ilvl="6" w:tplc="45FC3A18">
      <w:start w:val="1"/>
      <w:numFmt w:val="bullet"/>
      <w:lvlText w:val="l"/>
      <w:lvlJc w:val="left"/>
      <w:pPr>
        <w:ind w:left="3360" w:hanging="420"/>
        <w:jc w:val="both"/>
      </w:pPr>
      <w:rPr>
        <w:rFonts w:ascii="Wingdings" w:eastAsia="Wingdings" w:hAnsi="Wingdings"/>
        <w:w w:val="100"/>
        <w:sz w:val="20"/>
        <w:szCs w:val="20"/>
      </w:rPr>
    </w:lvl>
    <w:lvl w:ilvl="7" w:tplc="06C4CFEE">
      <w:start w:val="1"/>
      <w:numFmt w:val="bullet"/>
      <w:lvlText w:val="n"/>
      <w:lvlJc w:val="left"/>
      <w:pPr>
        <w:ind w:left="3780" w:hanging="420"/>
        <w:jc w:val="both"/>
      </w:pPr>
      <w:rPr>
        <w:rFonts w:ascii="Wingdings" w:eastAsia="Wingdings" w:hAnsi="Wingdings"/>
        <w:w w:val="100"/>
        <w:sz w:val="20"/>
        <w:szCs w:val="20"/>
      </w:rPr>
    </w:lvl>
    <w:lvl w:ilvl="8" w:tplc="93A46268">
      <w:start w:val="1"/>
      <w:numFmt w:val="bullet"/>
      <w:lvlText w:val="u"/>
      <w:lvlJc w:val="left"/>
      <w:pPr>
        <w:ind w:left="4200" w:hanging="420"/>
        <w:jc w:val="both"/>
      </w:pPr>
      <w:rPr>
        <w:rFonts w:ascii="Wingdings" w:eastAsia="Wingdings" w:hAnsi="Wingdings"/>
        <w:w w:val="1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BE5199"/>
    <w:rsid w:val="00BE5199"/>
    <w:rsid w:val="00EF21A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rPr>
      <w:rFonts w:ascii="宋体" w:hAnsi="宋体"/>
    </w:r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paragraph" w:styleId="af0">
    <w:name w:val="header"/>
    <w:basedOn w:val="a"/>
    <w:link w:val="Char"/>
    <w:semiHidden/>
    <w:unhideWhenUsed/>
    <w:pPr>
      <w:tabs>
        <w:tab w:val="center" w:pos="4153"/>
        <w:tab w:val="right" w:pos="8306"/>
      </w:tabs>
      <w:jc w:val="center"/>
    </w:pPr>
    <w:rPr>
      <w:sz w:val="18"/>
      <w:szCs w:val="18"/>
    </w:rPr>
  </w:style>
  <w:style w:type="character" w:customStyle="1" w:styleId="Char">
    <w:name w:val="页眉 Char"/>
    <w:basedOn w:val="a0"/>
    <w:link w:val="af0"/>
    <w:semiHidden/>
    <w:rPr>
      <w:w w:val="100"/>
      <w:sz w:val="18"/>
      <w:szCs w:val="18"/>
      <w:shd w:val="clear" w:color="auto" w:fill="auto"/>
    </w:rPr>
  </w:style>
  <w:style w:type="paragraph" w:styleId="af1">
    <w:name w:val="footer"/>
    <w:basedOn w:val="a"/>
    <w:link w:val="Char0"/>
    <w:semiHidden/>
    <w:unhideWhenUsed/>
    <w:pPr>
      <w:tabs>
        <w:tab w:val="center" w:pos="4153"/>
        <w:tab w:val="right" w:pos="8306"/>
      </w:tabs>
    </w:pPr>
    <w:rPr>
      <w:sz w:val="18"/>
      <w:szCs w:val="18"/>
    </w:rPr>
  </w:style>
  <w:style w:type="character" w:customStyle="1" w:styleId="Char0">
    <w:name w:val="页脚 Char"/>
    <w:basedOn w:val="a0"/>
    <w:link w:val="af1"/>
    <w:semiHidden/>
    <w:rPr>
      <w:w w:val="100"/>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rPr>
      <w:rFonts w:ascii="宋体" w:hAnsi="宋体"/>
    </w:r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paragraph" w:styleId="af0">
    <w:name w:val="header"/>
    <w:basedOn w:val="a"/>
    <w:link w:val="Char"/>
    <w:semiHidden/>
    <w:unhideWhenUsed/>
    <w:pPr>
      <w:tabs>
        <w:tab w:val="center" w:pos="4153"/>
        <w:tab w:val="right" w:pos="8306"/>
      </w:tabs>
      <w:jc w:val="center"/>
    </w:pPr>
    <w:rPr>
      <w:sz w:val="18"/>
      <w:szCs w:val="18"/>
    </w:rPr>
  </w:style>
  <w:style w:type="character" w:customStyle="1" w:styleId="Char">
    <w:name w:val="页眉 Char"/>
    <w:basedOn w:val="a0"/>
    <w:link w:val="af0"/>
    <w:semiHidden/>
    <w:rPr>
      <w:w w:val="100"/>
      <w:sz w:val="18"/>
      <w:szCs w:val="18"/>
      <w:shd w:val="clear" w:color="auto" w:fill="auto"/>
    </w:rPr>
  </w:style>
  <w:style w:type="paragraph" w:styleId="af1">
    <w:name w:val="footer"/>
    <w:basedOn w:val="a"/>
    <w:link w:val="Char0"/>
    <w:semiHidden/>
    <w:unhideWhenUsed/>
    <w:pPr>
      <w:tabs>
        <w:tab w:val="center" w:pos="4153"/>
        <w:tab w:val="right" w:pos="8306"/>
      </w:tabs>
    </w:pPr>
    <w:rPr>
      <w:sz w:val="18"/>
      <w:szCs w:val="18"/>
    </w:rPr>
  </w:style>
  <w:style w:type="character" w:customStyle="1" w:styleId="Char0">
    <w:name w:val="页脚 Char"/>
    <w:basedOn w:val="a0"/>
    <w:link w:val="af1"/>
    <w:semiHidden/>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Sky123.Org</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5</cp:revision>
  <dcterms:created xsi:type="dcterms:W3CDTF">2020-04-29T07:16:00Z</dcterms:created>
  <dcterms:modified xsi:type="dcterms:W3CDTF">2020-04-29T07:18:00Z</dcterms:modified>
</cp:coreProperties>
</file>